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DS-0044 · Constitutional</w:t>
      </w:r>
    </w:p>
    <w:p>
      <w:pPr>
        <w:pStyle w:val="Title"/>
      </w:pPr>
      <w:r>
        <w:t xml:space="preserve">Nariman and Chandrachud JJ. in the Sabarimala Review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Three judges kept the review pending and referred wider questions; two held that no ground for review was shown.</w:t>
      </w:r>
    </w:p>
    <w:p>
      <w:pPr>
        <w:pStyle w:val="Guidance"/>
      </w:pPr>
      <w:r>
        <w:t xml:space="preserve">Authorities to start from. These are places to begin, listed by the editors. Read each one in the original and check the citation before you rely on it.</w:t>
      </w:r>
    </w:p>
    <w:p>
      <w:pPr>
        <w:pStyle w:val="Bullet"/>
      </w:pPr>
      <w:r>
        <w:t xml:space="preserve">•  Kantaru Rajeevaru v. Indian Young Lawyers Association, (2020) 2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https://fpr.iura.in/dissents/minority-in-sabarimala-review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