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DS-0016 · Family</w:t>
      </w:r>
    </w:p>
    <w:p>
      <w:pPr>
        <w:pStyle w:val="Title"/>
      </w:pPr>
      <w:r>
        <w:t xml:space="preserve">The Minority in Supriyo</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two-judge view that queer couples have a right to a civil union and to adopt.</w:t>
      </w:r>
    </w:p>
    <w:p>
      <w:pPr>
        <w:pStyle w:val="Guidance"/>
      </w:pPr>
      <w:r>
        <w:t xml:space="preserve">Authorities to start from. These are places to begin, listed by the editors. Read each one in the original and check the citation before you rely on it.</w:t>
      </w:r>
    </w:p>
    <w:p>
      <w:pPr>
        <w:pStyle w:val="Bullet"/>
      </w:pPr>
      <w:r>
        <w:t xml:space="preserve">•  Supriyo v. Union of India, 2023 SCC OnLine SC 1348 (Chandrachud, C.J., and Kaul, J.)</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https://fpr.iura.in/dissents/minority-in-supriyo</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