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DS-0033 · Tax</w:t>
      </w:r>
    </w:p>
    <w:p>
      <w:pPr>
        <w:pStyle w:val="Title"/>
      </w:pPr>
      <w:r>
        <w:t xml:space="preserve">Radhakrishnan J. in Vodafone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A concurring opinion with its own account of holding structures and the limits of looking through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Vodafone International Holdings BV v. Union of India, (2012) 6 SCC 613 (K.S.P. Radhakrishnan, J., concurring)</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https://fpr.iura.in/dissents/radhakrishnan-in-vodafone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