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DS-0039 · Family</w:t>
      </w:r>
    </w:p>
    <w:p>
      <w:pPr>
        <w:pStyle w:val="Title"/>
      </w:pPr>
      <w:r>
        <w:t xml:space="preserve">The Split Bench on Marital Rape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opinions of the Delhi High Court, one striking down the exception and one upholding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RIT Foundation v. Union of India, 2022 SCC OnLine Del 1404 (Shakdher, J.; Hari Shankar,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https://fpr.iura.in/dissents/split-bench-on-marital-rape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