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DS-0040 · Human Rights</w:t>
      </w:r>
    </w:p>
    <w:p>
      <w:pPr>
        <w:pStyle w:val="Title"/>
      </w:pPr>
      <w:r>
        <w:t xml:space="preserve">The Split Bench on the Hijab</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One judge tested the practice for essentiality; the other asked only whether a girl’s choice and schooling were protected.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Aishat Shifa v. State of Karnataka, (2023) 2 SCC 1 (Gupta, J.; Dhulia,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https://fpr.iura.in/dissents/split-bench-on-the-hijab</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