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Dissent · DS-0003 · Constitutional</w:t>
      </w:r>
    </w:p>
    <w:p>
      <w:pPr>
        <w:pStyle w:val="Title"/>
      </w:pPr>
      <w:r>
        <w:t xml:space="preserve">Subba Rao J. in Kharak Singh</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case and the majority</w:t>
      </w:r>
    </w:p>
    <w:p>
      <w:pPr>
        <w:pStyle w:val="Guidance"/>
      </w:pPr>
      <w:r>
        <w:t xml:space="preserve">The facts, the question and what the majority held.</w:t>
      </w:r>
    </w:p>
    <w:p/>
    <w:p>
      <w:pPr>
        <w:pStyle w:val="Heading1"/>
      </w:pPr>
      <w:r>
        <w:t xml:space="preserve">What the dissent said</w:t>
      </w:r>
    </w:p>
    <w:p>
      <w:pPr>
        <w:pStyle w:val="Guidance"/>
      </w:pPr>
      <w:r>
        <w:t xml:space="preserve">The dissenting conclusion, in the judge’s own terms.</w:t>
      </w:r>
    </w:p>
    <w:p/>
    <w:p>
      <w:pPr>
        <w:pStyle w:val="Heading1"/>
      </w:pPr>
      <w:r>
        <w:t xml:space="preserve">The reasoning, read closely</w:t>
      </w:r>
    </w:p>
    <w:p>
      <w:pPr>
        <w:pStyle w:val="Guidance"/>
      </w:pPr>
      <w:r>
        <w:t xml:space="preserve">Take the dissent’s argument step by step, with pinpoint references.</w:t>
      </w:r>
    </w:p>
    <w:p/>
    <w:p>
      <w:pPr>
        <w:pStyle w:val="Heading1"/>
      </w:pPr>
      <w:r>
        <w:t xml:space="preserve">What became of it</w:t>
      </w:r>
    </w:p>
    <w:p>
      <w:pPr>
        <w:pStyle w:val="Guidance"/>
      </w:pPr>
      <w:r>
        <w:t xml:space="preserve">Whether later benches, Parliament or writers took it up.</w:t>
      </w:r>
    </w:p>
    <w:p/>
    <w:p>
      <w:pPr>
        <w:pStyle w:val="Heading1"/>
      </w:pPr>
      <w:r>
        <w:t xml:space="preserve">Your assessment</w:t>
      </w:r>
    </w:p>
    <w:p>
      <w:pPr>
        <w:pStyle w:val="Guidance"/>
      </w:pPr>
      <w:r>
        <w:t xml:space="preserve">Whether the dissent was right, and what follows if it was.</w:t>
      </w:r>
    </w:p>
    <w:p/>
    <w:p>
      <w:pPr>
        <w:pStyle w:val="Heading1"/>
      </w:pPr>
      <w:r>
        <w:t xml:space="preserve">Notes for the writer (delete before submitting)</w:t>
      </w:r>
    </w:p>
    <w:p>
      <w:pPr>
        <w:pStyle w:val="Guidance"/>
      </w:pPr>
      <w:r>
        <w:t xml:space="preserve">Scope of this entry. Privacy as part of personal liberty, and surveillance as a restraint on the mind: the minority view that became law.</w:t>
      </w:r>
    </w:p>
    <w:p>
      <w:pPr>
        <w:pStyle w:val="Guidance"/>
      </w:pPr>
      <w:r>
        <w:t xml:space="preserve">Authorities to start from. These are places to begin, listed by the editors. Read each one in the original and check the citation before you rely on it.</w:t>
      </w:r>
    </w:p>
    <w:p>
      <w:pPr>
        <w:pStyle w:val="Bullet"/>
      </w:pPr>
      <w:r>
        <w:t xml:space="preserve">•  Kharak Singh v. State of U.P., AIR 1963 SC 1295 (Subba Rao, J., dissenting)</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https://fpr.iura.in/dissents/subba-rao-in-kharak-singh</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