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DS-0019 · Constitutional</w:t>
      </w:r>
    </w:p>
    <w:p>
      <w:pPr>
        <w:pStyle w:val="Title"/>
      </w:pPr>
      <w:r>
        <w:t xml:space="preserve">Bela Trivedi J. in Davinder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dissent against sub-classification of Scheduled Castes, resting on the Presidential list under Article 341.</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Davinder Singh (Supreme Court of India, 1 Aug. 2024) (Trivedi, J., dissenting)</w:t>
      </w:r>
    </w:p>
    <w:p>
      <w:pPr>
        <w:pStyle w:val="Bullet"/>
      </w:pPr>
      <w:r>
        <w:t xml:space="preserve">•  E.V. Chinnaiah v. State of A.P., (2005) 1 SCC 394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https://fpr.iura.in/dissents/trivedi-in-davinder-singh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