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DS-0029 · Labour</w:t>
      </w:r>
    </w:p>
    <w:p>
      <w:pPr>
        <w:pStyle w:val="Title"/>
      </w:pPr>
      <w:r>
        <w:t xml:space="preserve">The View Overruled in SAIL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three-judge reasoning in Air India that contract workers are absorbed on abolition, and why five judges rejected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Air India Statutory Corpn. v. United Labour Union, (1997) 9 SCC 377</w:t>
      </w:r>
    </w:p>
    <w:p>
      <w:pPr>
        <w:pStyle w:val="Bullet"/>
      </w:pPr>
      <w:r>
        <w:t xml:space="preserve">•  Steel Authority of India Ltd. v. National Union Waterfront Workers, (2001) 7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https://fpr.iura.in/dissents/view-overruled-in-sail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