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DC-0025 · Tort</w:t>
      </w:r>
    </w:p>
    <w:p>
      <w:pPr>
        <w:pStyle w:val="Title"/>
      </w:pPr>
      <w:r>
        <w:t xml:space="preserve">Absolute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Liability without exceptions for enterprises engaged in hazardous activity, and how it departs from strict liability.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M.C. Mehta v. Union of India, (1987) 1 SCC 395</w:t>
      </w:r>
    </w:p>
    <w:p>
      <w:pPr>
        <w:pStyle w:val="Bullet"/>
      </w:pPr>
      <w:r>
        <w:t xml:space="preserve">•  Rylands v. Fletcher, (1868) LR 3 HL 330</w:t>
      </w:r>
    </w:p>
    <w:p>
      <w:pPr>
        <w:pStyle w:val="Bullet"/>
      </w:pPr>
      <w:r>
        <w:t xml:space="preserve">•  Indian Council for Enviro-Legal Action v. Union of India, (1996) 3 SCC 212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https://fpr.iura.in/doctrines/absolute-liability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