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DC-0125 · Civil Procedure</w:t>
      </w:r>
    </w:p>
    <w:p>
      <w:pPr>
        <w:pStyle w:val="Title"/>
      </w:pPr>
      <w:r>
        <w:t xml:space="preserve">Abuse of Process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court’s power to stop proceedings brought for a collateral purpose or to reopen what has been decided.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K.K. Modi v. K.N. Modi, (1998) 3 SCC 573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https://fpr.iura.in/doctrines/abuse-of-process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