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DC-0181 · IP</w:t>
      </w:r>
    </w:p>
    <w:p>
      <w:pPr>
        <w:pStyle w:val="Title"/>
      </w:pPr>
      <w:r>
        <w:t xml:space="preserve">Acquiescence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loss of the right to object to another’s use of a mark after standing by knowingly for years.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33</w:t>
      </w:r>
    </w:p>
    <w:p>
      <w:pPr>
        <w:pStyle w:val="Bullet"/>
      </w:pPr>
      <w:r>
        <w:t xml:space="preserve">•  Power Control Appliances v. Sumeet Machines (P) Ltd., (1994) 2 SCC 448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https://fpr.iura.in/doctrines/acquiescence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