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DC-0064 · International (Public)</w:t>
      </w:r>
    </w:p>
    <w:p>
      <w:pPr>
        <w:pStyle w:val="Title"/>
      </w:pPr>
      <w:r>
        <w:t xml:space="preserve">Act of State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Sovereign acts against foreigners or in acquiring territory that municipal courts will not examine, and why it is no defence against a citizen.</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Saurashtra v. Memon Haji Ismail Haji, AIR 1959 SC 1383</w:t>
      </w:r>
    </w:p>
    <w:p>
      <w:pPr>
        <w:pStyle w:val="Bullet"/>
      </w:pPr>
      <w:r>
        <w:t xml:space="preserve">•  Promod Chandra Deb v. State of Orissa, AIR 1962 SC 1288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https://fpr.iura.in/doctrines/act-of-state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