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Doctrine · DC-0101 · Administrative</w:t>
      </w:r>
    </w:p>
    <w:p>
      <w:pPr>
        <w:pStyle w:val="Title"/>
      </w:pPr>
      <w:r>
        <w:t xml:space="preserve">Acting under Dictation</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rule</w:t>
      </w:r>
    </w:p>
    <w:p>
      <w:pPr>
        <w:pStyle w:val="Guidance"/>
      </w:pPr>
      <w:r>
        <w:t xml:space="preserve">State the doctrine in a sentence or two, as a court would apply it.</w:t>
      </w:r>
    </w:p>
    <w:p/>
    <w:p>
      <w:pPr>
        <w:pStyle w:val="Heading1"/>
      </w:pPr>
      <w:r>
        <w:t xml:space="preserve">The leading cases</w:t>
      </w:r>
    </w:p>
    <w:p>
      <w:pPr>
        <w:pStyle w:val="Guidance"/>
      </w:pPr>
      <w:r>
        <w:t xml:space="preserve">Where it began and the decisions that shaped it, with pinpoint references.</w:t>
      </w:r>
    </w:p>
    <w:p/>
    <w:p>
      <w:pPr>
        <w:pStyle w:val="Heading1"/>
      </w:pPr>
      <w:r>
        <w:t xml:space="preserve">Limits and exceptions</w:t>
      </w:r>
    </w:p>
    <w:p>
      <w:pPr>
        <w:pStyle w:val="Guidance"/>
      </w:pPr>
      <w:r>
        <w:t xml:space="preserve">When the doctrine does not apply, and who decided that.</w:t>
      </w:r>
    </w:p>
    <w:p/>
    <w:p>
      <w:pPr>
        <w:pStyle w:val="Heading1"/>
      </w:pPr>
      <w:r>
        <w:t xml:space="preserve">How it is applied today</w:t>
      </w:r>
    </w:p>
    <w:p>
      <w:pPr>
        <w:pStyle w:val="Guidance"/>
      </w:pPr>
      <w:r>
        <w:t xml:space="preserve">Two or three recent decisions that show the doctrine at work.</w:t>
      </w:r>
    </w:p>
    <w:p/>
    <w:p>
      <w:pPr>
        <w:pStyle w:val="Heading1"/>
      </w:pPr>
      <w:r>
        <w:t xml:space="preserve">What is unsettled</w:t>
      </w:r>
    </w:p>
    <w:p>
      <w:pPr>
        <w:pStyle w:val="Guidance"/>
      </w:pPr>
      <w:r>
        <w:t xml:space="preserve">Open questions and conflicting decisions.</w:t>
      </w:r>
    </w:p>
    <w:p/>
    <w:p>
      <w:pPr>
        <w:pStyle w:val="Heading1"/>
      </w:pPr>
      <w:r>
        <w:t xml:space="preserve">Notes for the writer (delete before submitting)</w:t>
      </w:r>
    </w:p>
    <w:p>
      <w:pPr>
        <w:pStyle w:val="Guidance"/>
      </w:pPr>
      <w:r>
        <w:t xml:space="preserve">Scope of this entry. The rule that an authority given a discretion must exercise it itself and not at the direction of a superior.</w:t>
      </w:r>
    </w:p>
    <w:p>
      <w:pPr>
        <w:pStyle w:val="Guidance"/>
      </w:pPr>
      <w:r>
        <w:t xml:space="preserve">Authorities to start from. These are places to begin, listed by the editors. Read each one in the original and check the citation before you rely on it.</w:t>
      </w:r>
    </w:p>
    <w:p>
      <w:pPr>
        <w:pStyle w:val="Bullet"/>
      </w:pPr>
      <w:r>
        <w:t xml:space="preserve">•  Commissioner of Police v. Gordhandas Bhanji, AIR 1952 SC 16</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https://fpr.iura.in/doctrines/acting-under-dictation</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