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DC-0183 · Tech &amp; Data</w:t>
      </w:r>
    </w:p>
    <w:p>
      <w:pPr>
        <w:pStyle w:val="Title"/>
      </w:pPr>
      <w:r>
        <w:t xml:space="preserve">Actual Knowledge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an intermediary loses its immunity only when a court order or government notice tells it of unlawful content.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79(3)(b)</w:t>
      </w:r>
    </w:p>
    <w:p>
      <w:pPr>
        <w:pStyle w:val="Bullet"/>
      </w:pPr>
      <w:r>
        <w:t xml:space="preserve">•  Shreya Singhal v. Union of India, (2015) 5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https://fpr.iura.in/doctrines/actual-knowledge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