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DC-0103 · Administrative</w:t>
      </w:r>
    </w:p>
    <w:p>
      <w:pPr>
        <w:pStyle w:val="Title"/>
      </w:pPr>
      <w:r>
        <w:t xml:space="preserve">Administrative Instructions and Statutory Rules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executive instructions may fill gaps in statutory rules but cannot override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Sant Ram Sharma v. State of Rajasthan, AIR 1967 SC 1910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https://fpr.iura.in/doctrines/administrative-instructions-and-statutory-rules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