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DC-0165 · Corporate</w:t>
      </w:r>
    </w:p>
    <w:p>
      <w:pPr>
        <w:pStyle w:val="Title"/>
      </w:pPr>
      <w:r>
        <w:t xml:space="preserve">Attribution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Treating the state of mind of those who direct a company as the company’s own, and why the rule does not run in reverse.</w:t>
      </w:r>
    </w:p>
    <w:p>
      <w:pPr>
        <w:pStyle w:val="Guidance"/>
      </w:pPr>
      <w:r>
        <w:t xml:space="preserve">Authorities to start from. These are places to begin, listed by the editors. Read each one in the original and check the citation before you rely on it.</w:t>
      </w:r>
    </w:p>
    <w:p>
      <w:pPr>
        <w:pStyle w:val="Bullet"/>
      </w:pPr>
      <w:r>
        <w:t xml:space="preserve">•  Iridium India Telecom Ltd. v. Motorola Inc., (2011) 1 SCC 74</w:t>
      </w:r>
    </w:p>
    <w:p>
      <w:pPr>
        <w:pStyle w:val="Bullet"/>
      </w:pPr>
      <w:r>
        <w:t xml:space="preserve">•  Sunil Bharti Mittal v. CBI, (2015) 4 SCC 609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https://fpr.iura.in/doctrines/attribution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