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DC-0173 · Banking</w:t>
      </w:r>
    </w:p>
    <w:p>
      <w:pPr>
        <w:pStyle w:val="Title"/>
      </w:pPr>
      <w:r>
        <w:t xml:space="preserve">Autonomy of Bank Guarantees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bank must honour an unconditional guarantee whatever the dispute beneath it, save for fraud or irretrievable injustice.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U.P. Coop. Federation Ltd. v. Singh Consultants &amp; Engineers (P) Ltd., (1988) 1 SCC 174</w:t>
      </w:r>
    </w:p>
    <w:p>
      <w:pPr>
        <w:pStyle w:val="Bullet"/>
      </w:pPr>
      <w:r>
        <w:t xml:space="preserve">•  Hindustan Steelworks Construction Ltd. v. Tarapore &amp; Co., (1996) 5 SCC 34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https://fpr.iura.in/doctrines/autonomy-of-bank-guarantees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