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DC-0001 · Constitutional</w:t>
      </w:r>
    </w:p>
    <w:p>
      <w:pPr>
        <w:pStyle w:val="Title"/>
      </w:pPr>
      <w:r>
        <w:t xml:space="preserve">Basic Structure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limit on Parliament’s power to amend the Constitution: where it comes from, what it protects, and how a court applies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Kesavananda Bharati v. State of Kerala, (1973) 4 SCC 225</w:t>
      </w:r>
    </w:p>
    <w:p>
      <w:pPr>
        <w:pStyle w:val="Bullet"/>
      </w:pPr>
      <w:r>
        <w:t xml:space="preserve">•  Indira Nehru Gandhi v. Raj Narain, 1975 Supp SCC 1</w:t>
      </w:r>
    </w:p>
    <w:p>
      <w:pPr>
        <w:pStyle w:val="Bullet"/>
      </w:pPr>
      <w:r>
        <w:t xml:space="preserve">•  Minerva Mills Ltd. v. Union of India, (1980) 3 SCC 625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https://fpr.iura.in/doctrines/basic-structure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