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DC-0157 · Family</w:t>
      </w:r>
    </w:p>
    <w:p>
      <w:pPr>
        <w:pStyle w:val="Title"/>
      </w:pPr>
      <w:r>
        <w:t xml:space="preserve">Blending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coparcener’s separate property becomes joint family property if thrown into the common stock with that intention.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Lakkireddi Chinna Venkata Reddi v. Lakkireddi Lakshmama, AIR 1963 SC 1601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https://fpr.iura.in/doctrines/blending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