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DC-0057 · Banking</w:t>
      </w:r>
    </w:p>
    <w:p>
      <w:pPr>
        <w:pStyle w:val="Title"/>
      </w:pPr>
      <w:r>
        <w:t xml:space="preserve">Clean Slate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successful resolution applicant takes the company free of claims not in the approved plan, including government dues.</w:t>
      </w:r>
    </w:p>
    <w:p>
      <w:pPr>
        <w:pStyle w:val="Guidance"/>
      </w:pPr>
      <w:r>
        <w:t xml:space="preserve">Authorities to start from. These are places to begin, listed by the editors. Read each one in the original and check the citation before you rely on it.</w:t>
      </w:r>
    </w:p>
    <w:p>
      <w:pPr>
        <w:pStyle w:val="Bullet"/>
      </w:pPr>
      <w:r>
        <w:t xml:space="preserve">•  Essar Steel India Ltd. Committee of Creditors v. Satish Kumar Gupta, (2020) 8 SCC 531</w:t>
      </w:r>
    </w:p>
    <w:p>
      <w:pPr>
        <w:pStyle w:val="Bullet"/>
      </w:pPr>
      <w:r>
        <w:t xml:space="preserve">•  Ghanashyam Mishra &amp; Sons (P) Ltd. v. Edelweiss Asset Reconstruction Co. Ltd., (2021) 9 SCC 657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https://fpr.iura.in/doctrines/clean-slate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