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DC-0206 · Criminal</w:t>
      </w:r>
    </w:p>
    <w:p>
      <w:pPr>
        <w:pStyle w:val="Title"/>
      </w:pPr>
      <w:r>
        <w:t xml:space="preserve">Cognizance of the Offence, Not the Offender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magistrate takes cognizance of an offence and may then proceed against anyone the material shows to be involved.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Raghubans Dubey v. State of Bihar, AIR 1967 SC 1167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https://fpr.iura.in/doctrines/cognizance-of-the-offence-not-the-offender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