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DC-0006 · Constitutional</w:t>
      </w:r>
    </w:p>
    <w:p>
      <w:pPr>
        <w:pStyle w:val="Title"/>
      </w:pPr>
      <w:r>
        <w:t xml:space="preserve">Colourable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What cannot be done directly cannot be done indirectly: a question of competence, not of legislative motive.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K.C. Gajapati Narayan Deo v. State of Orissa, AIR 1953 SC 375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https://fpr.iura.in/doctrines/colourable-legislation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