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DC-0190 · International (Public)</w:t>
      </w:r>
    </w:p>
    <w:p>
      <w:pPr>
        <w:pStyle w:val="Title"/>
      </w:pPr>
      <w:r>
        <w:t xml:space="preserve">Command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liability of military and civilian superiors for crimes of subordinates they failed to prevent or punish.</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 Statute of the International Criminal Court, art. 28, July 17, 1998, 2187 U.N.T.S. 90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https://fpr.iura.in/doctrines/command-responsibility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