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DC-0028 · Tort</w:t>
      </w:r>
    </w:p>
    <w:p>
      <w:pPr>
        <w:pStyle w:val="Title"/>
      </w:pPr>
      <w:r>
        <w:t xml:space="preserve">Constitutional Tort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Compensation in writ jurisdiction for violation of fundamental rights, as a public law remedy distinct from tort damages.</w:t>
      </w:r>
    </w:p>
    <w:p>
      <w:pPr>
        <w:pStyle w:val="Guidance"/>
      </w:pPr>
      <w:r>
        <w:t xml:space="preserve">Authorities to start from. These are places to begin, listed by the editors. Read each one in the original and check the citation before you rely on it.</w:t>
      </w:r>
    </w:p>
    <w:p>
      <w:pPr>
        <w:pStyle w:val="Bullet"/>
      </w:pPr>
      <w:r>
        <w:t xml:space="preserve">•  Rudul Sah v. State of Bihar, (1983) 4 SCC 141</w:t>
      </w:r>
    </w:p>
    <w:p>
      <w:pPr>
        <w:pStyle w:val="Bullet"/>
      </w:pPr>
      <w:r>
        <w:t xml:space="preserve">•  Nilabati Behera v. State of Orissa, (1993) 2 SCC 746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https://fpr.iura.in/doctrines/constitutional-tort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