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DC-0090 · Constitutional</w:t>
      </w:r>
    </w:p>
    <w:p>
      <w:pPr>
        <w:pStyle w:val="Title"/>
      </w:pPr>
      <w:r>
        <w:t xml:space="preserve">Continuing Mandamus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Keeping a case open and issuing directions from time to time to see that a public duty is in fact carried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Vineet Narain v. Union of India, (1998) 1 SCC 226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https://fpr.iura.in/doctrines/continuing-mandamus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