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DC-0069 · Corporate</w:t>
      </w:r>
    </w:p>
    <w:p>
      <w:pPr>
        <w:pStyle w:val="Title"/>
      </w:pPr>
      <w:r>
        <w:t xml:space="preserve">Corporate Opportunity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director may not divert to himself a business opportunity that belongs to the company.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166</w:t>
      </w:r>
    </w:p>
    <w:p>
      <w:pPr>
        <w:pStyle w:val="Bullet"/>
      </w:pPr>
      <w:r>
        <w:t xml:space="preserve">•  Regal (Hastings) Ltd. v. Gulliver, [1967] 2 AC 134</w:t>
      </w:r>
    </w:p>
    <w:p>
      <w:pPr>
        <w:pStyle w:val="Bullet"/>
      </w:pPr>
      <w:r>
        <w:t xml:space="preserve">•  Vaishnav Shorilal Puri v. Kishore Kundan Sippy, 2006 SCC OnLine Bom 498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https://fpr.iura.in/doctrines/corporate-opportunity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