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DC-0216 · Property</w:t>
      </w:r>
    </w:p>
    <w:p>
      <w:pPr>
        <w:pStyle w:val="Title"/>
      </w:pPr>
      <w:r>
        <w:t xml:space="preserve">Covenants Running with the 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 restriction on the use of land binds a later buyer who took with notice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40</w:t>
      </w:r>
    </w:p>
    <w:p>
      <w:pPr>
        <w:pStyle w:val="Bullet"/>
      </w:pPr>
      <w:r>
        <w:t xml:space="preserve">•  Tulk v. Moxhay, (1848) 2 Ph 774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https://fpr.iura.in/doctrines/covenants-running-with-land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