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DC-0093 · Constitutional</w:t>
      </w:r>
    </w:p>
    <w:p>
      <w:pPr>
        <w:pStyle w:val="Title"/>
      </w:pPr>
      <w:r>
        <w:t xml:space="preserve">De Facto Officer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acts of a judge or officer whose appointment is later found invalid remain good for those who relied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Gokaraju Rangaraju v. State of A.P., (1981) 3 SCC 132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https://fpr.iura.in/doctrines/de-facto-officer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