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DC-0180 · IP</w:t>
      </w:r>
    </w:p>
    <w:p>
      <w:pPr>
        <w:pStyle w:val="Title"/>
      </w:pPr>
      <w:r>
        <w:t xml:space="preserve">De Minimis in Copyright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copying too trivial to matter is no infringement, as a threshold before fair dealing is reached.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TV Independent News Service (P) Ltd. v. Yashraj Films (P) Ltd., 2012 SCC OnLine Del 4298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https://fpr.iura.in/doctrines/de-minimis-in-copyright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