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DC-0197 · Interpretation</w:t>
      </w:r>
    </w:p>
    <w:p>
      <w:pPr>
        <w:pStyle w:val="Title"/>
      </w:pPr>
      <w:r>
        <w:t xml:space="preserve">Desuetude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idea that a statute long disused and contradicted by practice loses its force, and the caution with which Indian courts treat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Municipal Corpn. for City of Pune v. Bharat Forge Co. Ltd., (1995) 3 SCC 434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https://fpr.iura.in/doctrines/desuetude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