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DC-0052 · Tax</w:t>
      </w:r>
    </w:p>
    <w:p>
      <w:pPr>
        <w:pStyle w:val="Title"/>
      </w:pPr>
      <w:r>
        <w:t xml:space="preserve">Diversion of Income by Overriding Title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Income that never reaches the assessee as his own is not his income; income applied after it reaches him is.</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Sitaldas Tirathdas, AIR 1961 SC 728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https://fpr.iura.in/doctrines/diversion-by-overriding-title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