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DC-0179 · IP</w:t>
      </w:r>
    </w:p>
    <w:p>
      <w:pPr>
        <w:pStyle w:val="Title"/>
      </w:pPr>
      <w:r>
        <w:t xml:space="preserve">Doctrine of Equivalents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Infringement of a patent by a product that takes the substance of the invention while changing its inessential details.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Parkash v. Mangat Ram Chowdhry, AIR 1978 Del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https://fpr.iura.in/doctrines/doctrine-of-equivalents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