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DC-0194 · Legal History</w:t>
      </w:r>
    </w:p>
    <w:p>
      <w:pPr>
        <w:pStyle w:val="Title"/>
      </w:pPr>
      <w:r>
        <w:t xml:space="preserve">Doctrine of Lapse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Company’s policy of annexing a princely State whose ruler died without a natural heir, refusing to recognise adoption.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1858, 21 &amp; 22 Vict., c. 106</w:t>
      </w:r>
    </w:p>
    <w:p>
      <w:pPr>
        <w:pStyle w:val="Bullet"/>
      </w:pPr>
      <w:r>
        <w:t xml:space="preserve">•  Queen Victoria’s Proclamation, Nov. 1, 1858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https://fpr.iura.in/doctrines/doctrine-of-lapse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