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DC-0156 · Property</w:t>
      </w:r>
    </w:p>
    <w:p>
      <w:pPr>
        <w:pStyle w:val="Title"/>
      </w:pPr>
      <w:r>
        <w:t xml:space="preserve">Gift in Contemplation of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gift of movables made by a person expecting to die soon, which takes effect only if the death occurs.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129</w:t>
      </w:r>
    </w:p>
    <w:p>
      <w:pPr>
        <w:pStyle w:val="Bullet"/>
      </w:pPr>
      <w:r>
        <w:t xml:space="preserve">•  Indian Succession Act, 1925, § 191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https://fpr.iura.in/doctrines/donatio-mortis-causa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