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DC-0218 · Private International</w:t>
      </w:r>
    </w:p>
    <w:p>
      <w:pPr>
        <w:pStyle w:val="Title"/>
      </w:pPr>
      <w:r>
        <w:t xml:space="preserve">Double Actionability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tort committed abroad can be sued on only if it is actionable by the law of the forum and of the place where it was done.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Phillips v. Eyre, (1870) LR 6 QB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https://fpr.iura.in/doctrines/double-actionability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