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DC-0123 · Civil Procedure</w:t>
      </w:r>
    </w:p>
    <w:p>
      <w:pPr>
        <w:pStyle w:val="Title"/>
      </w:pPr>
      <w:r>
        <w:t xml:space="preserve">Election of Remedies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that a person with two inconsistent remedies who chooses one cannot afterwards fall back on the 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National Insurance Co. Ltd. v. Mastan, (2006) 2 SCC 641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https://fpr.iura.in/doctrines/election-of-remedies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