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DC-0071 · Property</w:t>
      </w:r>
    </w:p>
    <w:p>
      <w:pPr>
        <w:pStyle w:val="Title"/>
      </w:pPr>
      <w:r>
        <w:t xml:space="preserve">Election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person who takes a benefit under an instrument must accept its burdens too, and cannot approve and reject the same deed.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35</w:t>
      </w:r>
    </w:p>
    <w:p>
      <w:pPr>
        <w:pStyle w:val="Bullet"/>
      </w:pPr>
      <w:r>
        <w:t xml:space="preserve">•  Indian Succession Act, 1925, §§ 180–190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https://fpr.iura.in/doctrines/election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