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DC-0155 · Property</w:t>
      </w:r>
    </w:p>
    <w:p>
      <w:pPr>
        <w:pStyle w:val="Title"/>
      </w:pPr>
      <w:r>
        <w:t xml:space="preserve">Escheat and Bona Vacantia</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passing of property to the State when an owner dies without heirs or property is left ownerless.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 296</w:t>
      </w:r>
    </w:p>
    <w:p>
      <w:pPr>
        <w:pStyle w:val="Bullet"/>
      </w:pPr>
      <w:r>
        <w:t xml:space="preserve">•  Hindu Succession Act, 1956, § 29</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https://fpr.iura.in/doctrines/escheat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