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DC-0054 · Competition</w:t>
      </w:r>
    </w:p>
    <w:p>
      <w:pPr>
        <w:pStyle w:val="Title"/>
      </w:pPr>
      <w:r>
        <w:t xml:space="preserve">Essential Facilities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a dominant firm must give rivals access to infrastructure they cannot reasonably duplicate.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4(2)(c)</w:t>
      </w:r>
    </w:p>
    <w:p>
      <w:pPr>
        <w:pStyle w:val="Bullet"/>
      </w:pPr>
      <w:r>
        <w:t xml:space="preserve">•  Arshiya Rail Infrastructure Ltd. v. Ministry of Railways, 2012 SCC OnLine CCI 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https://fpr.iura.in/doctrines/essential-facilities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