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DC-0077 · Evidence</w:t>
      </w:r>
    </w:p>
    <w:p>
      <w:pPr>
        <w:pStyle w:val="Title"/>
      </w:pPr>
      <w:r>
        <w:t xml:space="preserve">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person who led another to act on a representation may not deny it later; a rule of evidence, not a cause of 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115 (now Bharatiya Sakshya Adhiniyam, 2023, § 121)</w:t>
      </w:r>
    </w:p>
    <w:p>
      <w:pPr>
        <w:pStyle w:val="Bullet"/>
      </w:pPr>
      <w:r>
        <w:t xml:space="preserve">•  B.L. Sreedhar v. K.M. Munireddy, (2003) 2 SCC 355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https://fpr.iura.in/doctrines/estoppel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