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DC-0013 · Administrative</w:t>
      </w:r>
    </w:p>
    <w:p>
      <w:pPr>
        <w:pStyle w:val="Title"/>
      </w:pPr>
      <w:r>
        <w:t xml:space="preserve">Excessive Delegation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legislature may delegate detail but not essential legislative function; the search for policy and guidance in the parent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 re Delhi Laws Act, 1912, AIR 1951 SC 332</w:t>
      </w:r>
    </w:p>
    <w:p>
      <w:pPr>
        <w:pStyle w:val="Bullet"/>
      </w:pPr>
      <w:r>
        <w:t xml:space="preserve">•  Hamdard Dawakhana v. Union of India, AIR 1960 SC 554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https://fpr.iura.in/doctrines/excessive-delegation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