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DC-0128 · Civil Procedure</w:t>
      </w:r>
    </w:p>
    <w:p>
      <w:pPr>
        <w:pStyle w:val="Title"/>
      </w:pPr>
      <w:r>
        <w:t xml:space="preserve">Exclusion of Time Spent in a Wrong Forum</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exclusion from limitation of time spent in good faith pursuing the same relief in a court without jurisdiction.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Limitation Act, 1963, § 14</w:t>
      </w:r>
    </w:p>
    <w:p>
      <w:pPr>
        <w:pStyle w:val="Bullet"/>
      </w:pPr>
      <w:r>
        <w:t xml:space="preserve">•  Consolidated Engineering Enterprises v. Principal Secretary, Irrigation Dept., (2008) 7 SCC 169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https://fpr.iura.in/doctrines/exclusion-of-time-spent-in-a-wrong-forum</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