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DC-0127 · Civil Procedure</w:t>
      </w:r>
    </w:p>
    <w:p>
      <w:pPr>
        <w:pStyle w:val="Title"/>
      </w:pPr>
      <w:r>
        <w:t xml:space="preserve">An Executing Court Cannot Go behind the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court executing a decree must take it as it stands, and the exception for a decree that is a nullity.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47</w:t>
      </w:r>
    </w:p>
    <w:p>
      <w:pPr>
        <w:pStyle w:val="Bullet"/>
      </w:pPr>
      <w:r>
        <w:t xml:space="preserve">•  Vasudev Dhanjibhai Modi v. Rajabhai Abdul Rehman, (1970) 1 SCC 670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https://fpr.iura.in/doctrines/executing-court-cannot-go-behind-the-decree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