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DC-0102 · Administrative</w:t>
      </w:r>
    </w:p>
    <w:p>
      <w:pPr>
        <w:pStyle w:val="Title"/>
      </w:pPr>
      <w:r>
        <w:t xml:space="preserve">Exhaustion of Alternative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practice of refusing a writ where a statutory remedy exists, and the settled exceptions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Whirlpool Corpn. v. Registrar of Trade Marks, (1998) 8 SCC 1</w:t>
      </w:r>
    </w:p>
    <w:p>
      <w:pPr>
        <w:pStyle w:val="Bullet"/>
      </w:pPr>
      <w:r>
        <w:t xml:space="preserve">•  United Bank of India v. Satyawati Tondon, (2010) 8 SCC 110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https://fpr.iura.in/doctrines/exhaustion-of-alternative-remedies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