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DC-0043 · IP</w:t>
      </w:r>
    </w:p>
    <w:p>
      <w:pPr>
        <w:pStyle w:val="Title"/>
      </w:pPr>
      <w:r>
        <w:t xml:space="preserve">Fair Dealing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enumerated exceptions to copyright infringement in section 52 and how Indian courts have read them, especially for education.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52</w:t>
      </w:r>
    </w:p>
    <w:p>
      <w:pPr>
        <w:pStyle w:val="Bullet"/>
      </w:pPr>
      <w:r>
        <w:t xml:space="preserve">•  University of Oxford v. Rameshwari Photocopy Services, 2016 SCC OnLine Del 6229 (Division Bench)</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https://fpr.iura.in/doctrines/fair-dealing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