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DC-0118 · Evidence</w:t>
      </w:r>
    </w:p>
    <w:p>
      <w:pPr>
        <w:pStyle w:val="Title"/>
      </w:pPr>
      <w:r>
        <w:t xml:space="preserve">Falsus in Uno, Falsus in Omnibus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maxim that a witness false in one thing is false in all, and why Indian courts do not apply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Ugar Ahir v. State of Bihar, AIR 1965 SC 277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https://fpr.iura.in/doctrines/falsus-in-uno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