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DC-0066 · Property</w:t>
      </w:r>
    </w:p>
    <w:p>
      <w:pPr>
        <w:pStyle w:val="Title"/>
      </w:pPr>
      <w:r>
        <w:t xml:space="preserve">Fixtures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thing attached to land becomes part of it: the degree and object of annexation, and the tenant’s right to remove.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 108(h)</w:t>
      </w:r>
    </w:p>
    <w:p>
      <w:pPr>
        <w:pStyle w:val="Bullet"/>
      </w:pPr>
      <w:r>
        <w:t xml:space="preserve">•  Duncans Industries Ltd. v. State of U.P., (2000) 1 SCC 633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https://fpr.iura.in/doctrines/fixtures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