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DC-0056 · Securities</w:t>
      </w:r>
    </w:p>
    <w:p>
      <w:pPr>
        <w:pStyle w:val="Title"/>
      </w:pPr>
      <w:r>
        <w:t xml:space="preserve">Fraud on the Securities Market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Manipulative and deceptive practices under the SEBI regulations, and the move away from requiring proof of intent.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(Prohibition of Fraudulent and Unfair Trade Practices) Regulations, 2003, regs. 3–4</w:t>
      </w:r>
    </w:p>
    <w:p>
      <w:pPr>
        <w:pStyle w:val="Bullet"/>
      </w:pPr>
      <w:r>
        <w:t xml:space="preserve">•  SEBI v. Kanaiyalal Baldevbhai Patel, (2017) 15 SCC 1</w:t>
      </w:r>
    </w:p>
    <w:p>
      <w:pPr>
        <w:pStyle w:val="Bullet"/>
      </w:pPr>
      <w:r>
        <w:t xml:space="preserve">•  SEBI v. Rakhi Trading (P) Ltd., (2018) 13 SCC 753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https://fpr.iura.in/doctrines/fraud-on-the-market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