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DC-0031 · Arbitration</w:t>
      </w:r>
    </w:p>
    <w:p>
      <w:pPr>
        <w:pStyle w:val="Title"/>
      </w:pPr>
      <w:r>
        <w:t xml:space="preserve">Group of Companies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Binding a non-signatory affiliate to an arbitration agreement on the strength of mutual intent shown by its conduct.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Chloro Controls India (P) Ltd. v. Severn Trent Water Purification Inc., (2013) 1 SCC 641</w:t>
      </w:r>
    </w:p>
    <w:p>
      <w:pPr>
        <w:pStyle w:val="Bullet"/>
      </w:pPr>
      <w:r>
        <w:t xml:space="preserve">•  Cox and Kings Ltd. v. SAP India (P) Ltd., (2024) 4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https://fpr.iura.in/doctrines/group-of-companies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