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DC-0084 · Constitutional</w:t>
      </w:r>
    </w:p>
    <w:p>
      <w:pPr>
        <w:pStyle w:val="Title"/>
      </w:pPr>
      <w:r>
        <w:t xml:space="preserve">Immunity of Instrumentalities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How far the Union and the States are free from each other’s taxes, and why India did not adopt the American doctrine in full.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285, 289</w:t>
      </w:r>
    </w:p>
    <w:p>
      <w:pPr>
        <w:pStyle w:val="Bullet"/>
      </w:pPr>
      <w:r>
        <w:t xml:space="preserve">•  State of West Bengal v. Union of India, AIR 1963 SC 1241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https://fpr.iura.in/doctrines/immunity-of-instrumentalities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